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Style w:val="a4"/>
          <w:rFonts w:ascii="Trebuchet MS" w:hAnsi="Trebuchet MS"/>
          <w:color w:val="0000FF"/>
          <w:sz w:val="20"/>
          <w:szCs w:val="20"/>
        </w:rPr>
        <w:t>Структурна модель виховної системи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noProof/>
          <w:color w:val="000000"/>
          <w:sz w:val="20"/>
          <w:szCs w:val="20"/>
        </w:rPr>
        <w:drawing>
          <wp:inline distT="0" distB="0" distL="0" distR="0">
            <wp:extent cx="4953000" cy="5638800"/>
            <wp:effectExtent l="19050" t="0" r="0" b="0"/>
            <wp:docPr id="1" name="Рисунок 1" descr="http://school84.zp.ua/images/vih_syste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84.zp.ua/images/vih_system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Style w:val="a4"/>
          <w:rFonts w:ascii="Trebuchet MS" w:hAnsi="Trebuchet MS"/>
          <w:color w:val="0000FF"/>
          <w:sz w:val="20"/>
          <w:szCs w:val="20"/>
        </w:rPr>
        <w:t>Виховна система  ТЗОШ № 18 складається із багатьох компонентів, основними з яких є: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1) </w:t>
      </w:r>
      <w:r>
        <w:rPr>
          <w:rFonts w:ascii="Trebuchet MS" w:hAnsi="Trebuchet MS"/>
          <w:color w:val="800080"/>
          <w:sz w:val="20"/>
          <w:szCs w:val="20"/>
          <w:u w:val="single"/>
        </w:rPr>
        <w:t>індивідуально-груповий</w:t>
      </w:r>
      <w:r>
        <w:rPr>
          <w:rFonts w:ascii="Trebuchet MS" w:hAnsi="Trebuchet MS"/>
          <w:color w:val="800080"/>
          <w:sz w:val="20"/>
          <w:szCs w:val="20"/>
        </w:rPr>
        <w:t xml:space="preserve"> (адміністрація, учні, класні керівники,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вчителі-предметники</w:t>
      </w:r>
      <w:proofErr w:type="spellEnd"/>
      <w:r>
        <w:rPr>
          <w:rFonts w:ascii="Trebuchet MS" w:hAnsi="Trebuchet MS"/>
          <w:color w:val="800080"/>
          <w:sz w:val="20"/>
          <w:szCs w:val="20"/>
        </w:rPr>
        <w:t>, батьки, психолог, соціальний педагог тощо), важливою частиною якого є учні: з одного боку, вони – повноправні суб’єкти свого розвитку, життєдіяльності шкільного колективу, створення виховної системи, а з іншого боку – об’єкти продумано-сфокусованого і мимовільного впливу в процесі спільної діяльності, що культивується в шкільному колективі;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2) </w:t>
      </w:r>
      <w:proofErr w:type="spellStart"/>
      <w:r>
        <w:rPr>
          <w:rFonts w:ascii="Trebuchet MS" w:hAnsi="Trebuchet MS"/>
          <w:color w:val="800080"/>
          <w:sz w:val="20"/>
          <w:szCs w:val="20"/>
          <w:u w:val="single"/>
        </w:rPr>
        <w:t>функціонально-діяльнісний</w:t>
      </w:r>
      <w:proofErr w:type="spellEnd"/>
      <w:r>
        <w:rPr>
          <w:rFonts w:ascii="Trebuchet MS" w:hAnsi="Trebuchet MS"/>
          <w:color w:val="800080"/>
          <w:sz w:val="20"/>
          <w:szCs w:val="20"/>
        </w:rPr>
        <w:t>  виконує </w:t>
      </w:r>
      <w:r>
        <w:rPr>
          <w:rFonts w:ascii="Trebuchet MS" w:hAnsi="Trebuchet MS"/>
          <w:color w:val="800080"/>
          <w:sz w:val="20"/>
          <w:szCs w:val="20"/>
          <w:u w:val="single"/>
        </w:rPr>
        <w:t>роль головного чинника</w:t>
      </w:r>
      <w:r>
        <w:rPr>
          <w:rFonts w:ascii="Trebuchet MS" w:hAnsi="Trebuchet MS"/>
          <w:color w:val="800080"/>
          <w:sz w:val="20"/>
          <w:szCs w:val="20"/>
        </w:rPr>
        <w:t>, котрий забезпечує впорядкованість і цілісність виховної системи; містить у собі сукупність педагогічних технологій, які використовуються у навчально-виховному процесі, виховні функції, керування і самоврядування виховної системи;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3) </w:t>
      </w:r>
      <w:r>
        <w:rPr>
          <w:rFonts w:ascii="Trebuchet MS" w:hAnsi="Trebuchet MS"/>
          <w:color w:val="800080"/>
          <w:sz w:val="20"/>
          <w:szCs w:val="20"/>
          <w:u w:val="single"/>
        </w:rPr>
        <w:t>комунікативний</w:t>
      </w:r>
      <w:r>
        <w:rPr>
          <w:rFonts w:ascii="Trebuchet MS" w:hAnsi="Trebuchet MS"/>
          <w:color w:val="800080"/>
          <w:sz w:val="20"/>
          <w:szCs w:val="20"/>
        </w:rPr>
        <w:t> показує, наскільки швидко розвиваються міжособистісні стосунки, формуються індивідуальні і групові ціннісні орієнтації в умовах певного внутрішнього і зовнішнього середовища функціонування та розвитку шкільного колективу та його учнів, яке нерозривно пов’язане з визначенням місця і ролі класу у виховному процесі школи;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4) </w:t>
      </w:r>
      <w:r>
        <w:rPr>
          <w:rFonts w:ascii="Trebuchet MS" w:hAnsi="Trebuchet MS"/>
          <w:color w:val="800080"/>
          <w:sz w:val="20"/>
          <w:szCs w:val="20"/>
          <w:u w:val="single"/>
        </w:rPr>
        <w:t>діагностико-результативний</w:t>
      </w:r>
      <w:r>
        <w:rPr>
          <w:rFonts w:ascii="Trebuchet MS" w:hAnsi="Trebuchet MS"/>
          <w:color w:val="800080"/>
          <w:sz w:val="20"/>
          <w:szCs w:val="20"/>
        </w:rPr>
        <w:t> включає в себе такі елементи: критерії, показники і результативність виховної роботи; форми, методи і прийоми вивчення, аналізу й оцінки функціонування виховної системи;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5) </w:t>
      </w:r>
      <w:r>
        <w:rPr>
          <w:rFonts w:ascii="Trebuchet MS" w:hAnsi="Trebuchet MS"/>
          <w:color w:val="800080"/>
          <w:sz w:val="20"/>
          <w:szCs w:val="20"/>
          <w:u w:val="single"/>
        </w:rPr>
        <w:t>ціннісно-орієнтований</w:t>
      </w:r>
      <w:r>
        <w:rPr>
          <w:rFonts w:ascii="Trebuchet MS" w:hAnsi="Trebuchet MS"/>
          <w:color w:val="800080"/>
          <w:sz w:val="20"/>
          <w:szCs w:val="20"/>
        </w:rPr>
        <w:t> (мета, принципи виховання) </w:t>
      </w:r>
      <w:r>
        <w:rPr>
          <w:rFonts w:ascii="Trebuchet MS" w:hAnsi="Trebuchet MS"/>
          <w:color w:val="800080"/>
          <w:sz w:val="20"/>
          <w:szCs w:val="20"/>
          <w:u w:val="single"/>
        </w:rPr>
        <w:t>є основою</w:t>
      </w:r>
      <w:r>
        <w:rPr>
          <w:rFonts w:ascii="Trebuchet MS" w:hAnsi="Trebuchet MS"/>
          <w:color w:val="800080"/>
          <w:sz w:val="20"/>
          <w:szCs w:val="20"/>
        </w:rPr>
        <w:t> функціонування і розвитку </w:t>
      </w:r>
      <w:r>
        <w:rPr>
          <w:rFonts w:ascii="Trebuchet MS" w:hAnsi="Trebuchet MS"/>
          <w:color w:val="800080"/>
          <w:sz w:val="20"/>
          <w:szCs w:val="20"/>
          <w:u w:val="single"/>
        </w:rPr>
        <w:t>виховної системи школи</w:t>
      </w:r>
      <w:r>
        <w:rPr>
          <w:rFonts w:ascii="Trebuchet MS" w:hAnsi="Trebuchet MS"/>
          <w:color w:val="800080"/>
          <w:sz w:val="20"/>
          <w:szCs w:val="20"/>
        </w:rPr>
        <w:t>; спрямований на реалізацію основних завдань у виховній роботі і має своє відображення у планах виховної роботи школи та класів з охопленням всіх напрямків виховання:  патріотичне, правове, моральне, художньо-естетичне, трудове, фізичне, екологічне, превентивне та включають у себе календарні, традиційні шкільні свята, заходи, конкурси, міські заходи щодо втілення національних програм.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Пріоритетними питаннями реалізації завдань розвитку виховної системи школи є: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lastRenderedPageBreak/>
        <w:t>- процес становлення, вивчення, розвиток виховних систем учнівських колективів;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- якісне перетворення системи виховних заходів в школі на основі принципів гуманістичного виховання;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- створення умов для розвитку особистості учня та активного включення його в діяльність та соціум;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- спрямування діяльності навчального закладу на актуалізацію гуманістичного потенціалу навчального процесу;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- актуалізацію завдань сімейно-родинного виховання;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- формування у учнів української ідентичності та дбайливого ставлення до культурної та історичної спадщини країни, сприяння розвитку національної, козацької культури, культури національних меншин;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- організацію діяльності класних керівників з виховання толерантної особистості учнів;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- оптимальне використання виховних можливостей школи, поглиблення рівня інтегративних процесів по створенню цілісного збагаченого освітнього середовища;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- психологічне забезпечення виховного процесу;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- впровадження заходів щодо реалізації інклюзивної моделі освіти в школі;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- реалізацію завдань громадянського виховання засобами включення учнів у природозахисну, екологічну, волонтерську, проектну діяльність;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- створення умов для особистісно-професійного самовизначення педагогів в гуманістичній позиції, підвищення рівня професійної компетентності педагогічних кадрів щодо реалізації  завдань виховання, проектування виховної роботи в школі, впровадження психолого-педагогічних технологій саморозвитку особистості учнів;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- подальший розвиток спорту, туризму, органів учнівського самоврядування, прес-центру, інтелектуального руху в школі.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Головним завданням по реалізації </w:t>
      </w:r>
      <w:r>
        <w:rPr>
          <w:rFonts w:ascii="Trebuchet MS" w:hAnsi="Trebuchet MS"/>
          <w:color w:val="800080"/>
          <w:sz w:val="20"/>
          <w:szCs w:val="20"/>
          <w:u w:val="single"/>
        </w:rPr>
        <w:t xml:space="preserve">шкільної Програми </w:t>
      </w:r>
      <w:proofErr w:type="spellStart"/>
      <w:r>
        <w:rPr>
          <w:rFonts w:ascii="Trebuchet MS" w:hAnsi="Trebuchet MS"/>
          <w:color w:val="800080"/>
          <w:sz w:val="20"/>
          <w:szCs w:val="20"/>
          <w:u w:val="single"/>
        </w:rPr>
        <w:t>“Виховання”</w:t>
      </w:r>
      <w:proofErr w:type="spellEnd"/>
      <w:r>
        <w:rPr>
          <w:rFonts w:ascii="Trebuchet MS" w:hAnsi="Trebuchet MS"/>
          <w:color w:val="800080"/>
          <w:sz w:val="20"/>
          <w:szCs w:val="20"/>
        </w:rPr>
        <w:t> вважається організація виховної діяльності з учнями за напрямками визначеними Програмою: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 xml:space="preserve">-        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“Ціннісне</w:t>
      </w:r>
      <w:proofErr w:type="spellEnd"/>
      <w:r>
        <w:rPr>
          <w:rFonts w:ascii="Trebuchet MS" w:hAnsi="Trebuchet MS"/>
          <w:color w:val="800080"/>
          <w:sz w:val="20"/>
          <w:szCs w:val="20"/>
        </w:rPr>
        <w:t xml:space="preserve"> ставлення особистості до суспільства і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держави”</w:t>
      </w:r>
      <w:proofErr w:type="spellEnd"/>
      <w:r>
        <w:rPr>
          <w:rFonts w:ascii="Trebuchet MS" w:hAnsi="Trebuchet MS"/>
          <w:color w:val="800080"/>
          <w:sz w:val="20"/>
          <w:szCs w:val="20"/>
        </w:rPr>
        <w:t>,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 xml:space="preserve">-        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“Ціннісне</w:t>
      </w:r>
      <w:proofErr w:type="spellEnd"/>
      <w:r>
        <w:rPr>
          <w:rFonts w:ascii="Trebuchet MS" w:hAnsi="Trebuchet MS"/>
          <w:color w:val="800080"/>
          <w:sz w:val="20"/>
          <w:szCs w:val="20"/>
        </w:rPr>
        <w:t xml:space="preserve"> ставлення до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людей”</w:t>
      </w:r>
      <w:proofErr w:type="spellEnd"/>
      <w:r>
        <w:rPr>
          <w:rFonts w:ascii="Trebuchet MS" w:hAnsi="Trebuchet MS"/>
          <w:color w:val="800080"/>
          <w:sz w:val="20"/>
          <w:szCs w:val="20"/>
        </w:rPr>
        <w:t>,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 xml:space="preserve">-        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“Ціннісне</w:t>
      </w:r>
      <w:proofErr w:type="spellEnd"/>
      <w:r>
        <w:rPr>
          <w:rFonts w:ascii="Trebuchet MS" w:hAnsi="Trebuchet MS"/>
          <w:color w:val="800080"/>
          <w:sz w:val="20"/>
          <w:szCs w:val="20"/>
        </w:rPr>
        <w:t xml:space="preserve"> ставлення до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природи”</w:t>
      </w:r>
      <w:proofErr w:type="spellEnd"/>
      <w:r>
        <w:rPr>
          <w:rFonts w:ascii="Trebuchet MS" w:hAnsi="Trebuchet MS"/>
          <w:color w:val="800080"/>
          <w:sz w:val="20"/>
          <w:szCs w:val="20"/>
        </w:rPr>
        <w:t>,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 xml:space="preserve">-        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“Ціннісне</w:t>
      </w:r>
      <w:proofErr w:type="spellEnd"/>
      <w:r>
        <w:rPr>
          <w:rFonts w:ascii="Trebuchet MS" w:hAnsi="Trebuchet MS"/>
          <w:color w:val="800080"/>
          <w:sz w:val="20"/>
          <w:szCs w:val="20"/>
        </w:rPr>
        <w:t xml:space="preserve"> ставлення до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мистецтва”</w:t>
      </w:r>
      <w:proofErr w:type="spellEnd"/>
      <w:r>
        <w:rPr>
          <w:rFonts w:ascii="Trebuchet MS" w:hAnsi="Trebuchet MS"/>
          <w:color w:val="800080"/>
          <w:sz w:val="20"/>
          <w:szCs w:val="20"/>
        </w:rPr>
        <w:t>,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 xml:space="preserve">-        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“Ціннісне</w:t>
      </w:r>
      <w:proofErr w:type="spellEnd"/>
      <w:r>
        <w:rPr>
          <w:rFonts w:ascii="Trebuchet MS" w:hAnsi="Trebuchet MS"/>
          <w:color w:val="800080"/>
          <w:sz w:val="20"/>
          <w:szCs w:val="20"/>
        </w:rPr>
        <w:t xml:space="preserve"> ставлення до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праці”</w:t>
      </w:r>
      <w:proofErr w:type="spellEnd"/>
      <w:r>
        <w:rPr>
          <w:rFonts w:ascii="Trebuchet MS" w:hAnsi="Trebuchet MS"/>
          <w:color w:val="800080"/>
          <w:sz w:val="20"/>
          <w:szCs w:val="20"/>
        </w:rPr>
        <w:t>,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 xml:space="preserve">-        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“Ціннісне</w:t>
      </w:r>
      <w:proofErr w:type="spellEnd"/>
      <w:r>
        <w:rPr>
          <w:rFonts w:ascii="Trebuchet MS" w:hAnsi="Trebuchet MS"/>
          <w:color w:val="800080"/>
          <w:sz w:val="20"/>
          <w:szCs w:val="20"/>
        </w:rPr>
        <w:t xml:space="preserve"> ставлення до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себе”</w:t>
      </w:r>
      <w:proofErr w:type="spellEnd"/>
      <w:r>
        <w:rPr>
          <w:rFonts w:ascii="Trebuchet MS" w:hAnsi="Trebuchet MS"/>
          <w:color w:val="800080"/>
          <w:sz w:val="20"/>
          <w:szCs w:val="20"/>
        </w:rPr>
        <w:t>,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 xml:space="preserve">-        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“Ціннісне</w:t>
      </w:r>
      <w:proofErr w:type="spellEnd"/>
      <w:r>
        <w:rPr>
          <w:rFonts w:ascii="Trebuchet MS" w:hAnsi="Trebuchet MS"/>
          <w:color w:val="800080"/>
          <w:sz w:val="20"/>
          <w:szCs w:val="20"/>
        </w:rPr>
        <w:t xml:space="preserve"> ставлення до свого фізичного “Я”,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 xml:space="preserve">-        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“Ціннісне</w:t>
      </w:r>
      <w:proofErr w:type="spellEnd"/>
      <w:r>
        <w:rPr>
          <w:rFonts w:ascii="Trebuchet MS" w:hAnsi="Trebuchet MS"/>
          <w:color w:val="800080"/>
          <w:sz w:val="20"/>
          <w:szCs w:val="20"/>
        </w:rPr>
        <w:t xml:space="preserve"> ставлення до свого психічного “Я”,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 xml:space="preserve">-         </w:t>
      </w:r>
      <w:proofErr w:type="spellStart"/>
      <w:r>
        <w:rPr>
          <w:rFonts w:ascii="Trebuchet MS" w:hAnsi="Trebuchet MS"/>
          <w:color w:val="800080"/>
          <w:sz w:val="20"/>
          <w:szCs w:val="20"/>
        </w:rPr>
        <w:t>“Ціннісне</w:t>
      </w:r>
      <w:proofErr w:type="spellEnd"/>
      <w:r>
        <w:rPr>
          <w:rFonts w:ascii="Trebuchet MS" w:hAnsi="Trebuchet MS"/>
          <w:color w:val="800080"/>
          <w:sz w:val="20"/>
          <w:szCs w:val="20"/>
        </w:rPr>
        <w:t xml:space="preserve"> ставлення до свого соціального “Я”.</w:t>
      </w:r>
    </w:p>
    <w:p w:rsidR="00D815A0" w:rsidRDefault="00D815A0" w:rsidP="00D815A0">
      <w:pPr>
        <w:pStyle w:val="a3"/>
        <w:shd w:val="clear" w:color="auto" w:fill="E6FCBB"/>
        <w:spacing w:before="0" w:beforeAutospacing="0" w:after="75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800080"/>
          <w:sz w:val="20"/>
          <w:szCs w:val="20"/>
        </w:rPr>
        <w:t>Отже, виховна система передбачає формування комунікативного, інтелектуального, морального, естетичного і фізичного потенціалу кожного учня, який має володіти цілісною системою знань про навколишній світ, практичними уміннями і навичками, засобами творчої діяльності, прийомами та методами самопізнання та саморозвитку, ціннісним ставленням до себе, соціуму та навколишнього середовища.</w:t>
      </w:r>
    </w:p>
    <w:p w:rsidR="00496589" w:rsidRDefault="00496589"/>
    <w:sectPr w:rsidR="00496589" w:rsidSect="004965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15A0"/>
    <w:rsid w:val="00496589"/>
    <w:rsid w:val="00D81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815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8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2870</Words>
  <Characters>1636</Characters>
  <Application>Microsoft Office Word</Application>
  <DocSecurity>0</DocSecurity>
  <Lines>13</Lines>
  <Paragraphs>8</Paragraphs>
  <ScaleCrop>false</ScaleCrop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2022-12-09T15:59:00Z</dcterms:created>
  <dcterms:modified xsi:type="dcterms:W3CDTF">2022-12-09T16:00:00Z</dcterms:modified>
</cp:coreProperties>
</file>